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40"/>
          <w:lang w:eastAsia="zh-CN"/>
        </w:rPr>
      </w:pPr>
      <w:r>
        <w:rPr>
          <w:rFonts w:hint="eastAsia" w:ascii="华文中宋" w:hAnsi="华文中宋" w:eastAsia="华文中宋" w:cs="华文中宋"/>
          <w:sz w:val="32"/>
          <w:szCs w:val="40"/>
          <w:lang w:eastAsia="zh-CN"/>
        </w:rPr>
        <w:t>中国冶金地质总局新疆地质勘查院</w:t>
      </w:r>
    </w:p>
    <w:p>
      <w:pPr>
        <w:jc w:val="center"/>
        <w:rPr>
          <w:rFonts w:hint="eastAsia" w:ascii="华文中宋" w:hAnsi="华文中宋" w:eastAsia="华文中宋" w:cs="华文中宋"/>
          <w:sz w:val="32"/>
          <w:szCs w:val="40"/>
          <w:lang w:val="en-US" w:eastAsia="zh-CN"/>
        </w:rPr>
      </w:pPr>
      <w:r>
        <w:rPr>
          <w:rFonts w:hint="eastAsia" w:ascii="华文中宋" w:hAnsi="华文中宋" w:eastAsia="华文中宋" w:cs="华文中宋"/>
          <w:sz w:val="32"/>
          <w:szCs w:val="40"/>
          <w:lang w:val="en-US" w:eastAsia="zh-CN"/>
        </w:rPr>
        <w:t>2020年毕业生招聘简章</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华文中宋" w:hAnsi="华文中宋" w:eastAsia="华文中宋" w:cs="华文中宋"/>
          <w:sz w:val="28"/>
          <w:szCs w:val="36"/>
          <w:lang w:val="en-US" w:eastAsia="zh-CN"/>
        </w:rPr>
      </w:pPr>
      <w:r>
        <w:rPr>
          <w:rFonts w:hint="eastAsia" w:ascii="华文中宋" w:hAnsi="华文中宋" w:eastAsia="华文中宋" w:cs="华文中宋"/>
          <w:sz w:val="28"/>
          <w:szCs w:val="36"/>
          <w:lang w:val="en-US" w:eastAsia="zh-CN"/>
        </w:rPr>
        <w:t>单位简介</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冶金地质总局新疆地质勘查院是中国冶金地质总局山东局下属的具有独立法人资格的地质勘查事业单位。一九九六年开始进疆工作，是我国东部地区进入新疆较早的地勘队伍之一。主要承担国家基础性、公益性及战略性地质矿产勘查和相应的地质科学研究工作，同时承担商业性地质找矿勘查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冶金地质总局新疆地质勘查院持有固体矿产勘查、地质钻探、水文地质、工程地质、环境地质调查甲级资质及相应的地球物理勘查、地球化学勘查、测量资质。2009年11月通过了ISO9001质量、环境、职业健康安全“三标一体”认证。是中国科技核心期刊《地质找矿论丛》理事单位；也是中国矿业联合会地质勘查分会的理事单位。</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冶金地质总局新疆地质勘查院下设组织机构中，机关部室有综合办（党群工作部）、总工办、运营管理部（市场开发部、审计与法律事务部）、安全环保部、资产财务部。；生产单位有资源勘查事业部、生态环境事业部（与山东正元建设新疆分公司一体运营）、阿勒泰工程处、伊犁正元矿业有限责任公司（控股）。全院在职职工130人，现有专业技术人员涵盖矿产、地质、物探、化探、测量、水工环、岩土等专业。拥有先进仪器设备234台套，净值1253万元。其中：物、化探设备25台套；测绘仪器15套；GPS定位设备62台套；工作用车14辆；笔记本电脑，数码相机，摄像机，打印、扫描、传真设备合计96台；钻探设备47台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年来中国冶金地质总局新疆地质勘查院共承担国家矿产勘查项目36项，其中国土资源大调查及矿产资源评价专项项目19个，国家及自治区资源补偿费项目12项，国家财政补助项目3个，中央地勘基金项目2个，地方地质勘查基金项目6项。自主完成风险勘查项目15项，其中详查项目10项，勘探项目1项，普查项目4项。承担社会类风险勘查项目50项，其中勘探项目5项，详查项目30项，普查项目15项。承担冶金总局风险勘查项目10项，共完成资金投入2.7亿元。承担中国冶金地质总局、山东局科研项目及青年科技基金创新项目累计达到10项。先后获得中国冶金地质总局“地质找矿先进单位”（2004、2013）、“先进基层党组织”（2017）；中国冶金地质总局山东局“地质找矿先进集体”（2007、2015）、“生产经营先进单位”（2014，2015）等光荣称号。</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冶金地质总局新疆地质勘查院是一支集地质矿产勘查、矿业开发、科学研究于一体的综合性地质勘查队伍，也是一支较年轻的队伍，领导班子年富力强，管理理念先进。经过二十多年的发展，已经成为中国冶金地质总局在新疆的主力军，是新疆地质勘查队伍中重要的一支力量，实现了向精兵现代化的全新地勘队伍转变，有丰富的高原作业经验和缺氧不缺精神的喀喇昆仑作风。面对日趋竟争激烈的矿业市场，新疆院全体职工将发扬“不畏艰辛、做事用心、务实创新”的企业精神，与时俱进，奋力拼搏，奉献社会，与社会各界精诚合作，续写辉煌，共创美好未来。</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华文中宋" w:hAnsi="华文中宋" w:eastAsia="华文中宋" w:cs="华文中宋"/>
          <w:sz w:val="28"/>
          <w:szCs w:val="36"/>
          <w:lang w:val="en-US" w:eastAsia="zh-CN"/>
        </w:rPr>
      </w:pPr>
      <w:r>
        <w:rPr>
          <w:rFonts w:hint="eastAsia" w:ascii="华文中宋" w:hAnsi="华文中宋" w:eastAsia="华文中宋" w:cs="华文中宋"/>
          <w:sz w:val="28"/>
          <w:szCs w:val="36"/>
          <w:lang w:val="en-US" w:eastAsia="zh-CN"/>
        </w:rPr>
        <w:t>应聘基本条件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1.老牌地质院校或985/221院校应届毕业生，毕业时成绩合格并取得相应学历和学位证书。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2.遵纪守法，无违规违法等不良记录。</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3.身体健康且无传染性疾病，责任心强，乐观向上，适应能力强具有良好的团队意识，吃苦耐劳，诚实守信，热爱勘查、岩土等工作，适应野外一线</w:t>
      </w:r>
      <w:bookmarkStart w:id="0" w:name="_GoBack"/>
      <w:bookmarkEnd w:id="0"/>
      <w:r>
        <w:rPr>
          <w:rFonts w:hint="eastAsia" w:ascii="仿宋" w:hAnsi="仿宋" w:eastAsia="仿宋" w:cs="仿宋"/>
          <w:sz w:val="28"/>
          <w:szCs w:val="28"/>
          <w:lang w:val="en-US" w:eastAsia="zh-CN"/>
        </w:rPr>
        <w:t>作业，服从工作分配。</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华文中宋" w:hAnsi="华文中宋" w:eastAsia="华文中宋" w:cs="华文中宋"/>
          <w:sz w:val="28"/>
          <w:szCs w:val="36"/>
          <w:lang w:val="en-US" w:eastAsia="zh-CN"/>
        </w:rPr>
      </w:pPr>
      <w:r>
        <w:rPr>
          <w:rFonts w:hint="eastAsia" w:ascii="华文中宋" w:hAnsi="华文中宋" w:eastAsia="华文中宋" w:cs="华文中宋"/>
          <w:sz w:val="28"/>
          <w:szCs w:val="36"/>
          <w:lang w:val="en-US" w:eastAsia="zh-CN"/>
        </w:rPr>
        <w:t>招聘岗位、人数、专业</w:t>
      </w:r>
    </w:p>
    <w:tbl>
      <w:tblPr>
        <w:tblStyle w:val="4"/>
        <w:tblW w:w="8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867"/>
        <w:gridCol w:w="797"/>
        <w:gridCol w:w="4637"/>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序号</w:t>
            </w:r>
          </w:p>
        </w:tc>
        <w:tc>
          <w:tcPr>
            <w:tcW w:w="186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岗位</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人数</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专业</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地质勘查技术员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资源勘查工程、地质学、矿物学、岩石学、矿床学</w:t>
            </w:r>
            <w:r>
              <w:rPr>
                <w:rFonts w:hint="eastAsia" w:ascii="宋体" w:hAnsi="宋体" w:cs="宋体"/>
                <w:i w:val="0"/>
                <w:color w:val="000000"/>
                <w:kern w:val="0"/>
                <w:sz w:val="18"/>
                <w:szCs w:val="18"/>
                <w:u w:val="none"/>
                <w:lang w:val="en-US" w:eastAsia="zh-CN" w:bidi="ar"/>
              </w:rPr>
              <w:t>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工程勘察技术员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工程地质、岩土工程</w:t>
            </w:r>
            <w:r>
              <w:rPr>
                <w:rFonts w:hint="eastAsia" w:ascii="宋体" w:hAnsi="宋体" w:cs="宋体"/>
                <w:i w:val="0"/>
                <w:color w:val="000000"/>
                <w:kern w:val="0"/>
                <w:sz w:val="18"/>
                <w:szCs w:val="18"/>
                <w:u w:val="none"/>
                <w:lang w:val="en-US" w:eastAsia="zh-CN" w:bidi="ar"/>
              </w:rPr>
              <w:t>、安全工程、土木工程等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水工环技术员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水文地质或水文与水资源工程；环境科学或环境工程</w:t>
            </w:r>
            <w:r>
              <w:rPr>
                <w:rFonts w:hint="eastAsia" w:ascii="宋体" w:hAnsi="宋体" w:cs="宋体"/>
                <w:i w:val="0"/>
                <w:color w:val="000000"/>
                <w:kern w:val="0"/>
                <w:sz w:val="18"/>
                <w:szCs w:val="18"/>
                <w:u w:val="none"/>
                <w:lang w:val="en-US" w:eastAsia="zh-CN" w:bidi="ar"/>
              </w:rPr>
              <w:t>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测绘技术员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测绘工程、测量工程、测量学，工程测量，矿山测量</w:t>
            </w:r>
            <w:r>
              <w:rPr>
                <w:rFonts w:hint="eastAsia" w:ascii="宋体" w:hAnsi="宋体" w:cs="宋体"/>
                <w:i w:val="0"/>
                <w:color w:val="000000"/>
                <w:kern w:val="0"/>
                <w:sz w:val="18"/>
                <w:szCs w:val="18"/>
                <w:u w:val="none"/>
                <w:lang w:val="en-US" w:eastAsia="zh-CN" w:bidi="ar"/>
              </w:rPr>
              <w:t>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物探技术员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地球物理、勘查技术与工程</w:t>
            </w:r>
            <w:r>
              <w:rPr>
                <w:rFonts w:hint="eastAsia" w:ascii="宋体" w:hAnsi="宋体" w:cs="宋体"/>
                <w:i w:val="0"/>
                <w:color w:val="000000"/>
                <w:kern w:val="0"/>
                <w:sz w:val="18"/>
                <w:szCs w:val="18"/>
                <w:u w:val="none"/>
                <w:lang w:val="en-US" w:eastAsia="zh-CN" w:bidi="ar"/>
              </w:rPr>
              <w:t>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化探技术员</w:t>
            </w: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地球化学</w:t>
            </w:r>
            <w:r>
              <w:rPr>
                <w:rFonts w:hint="eastAsia" w:ascii="宋体" w:hAnsi="宋体" w:cs="宋体"/>
                <w:i w:val="0"/>
                <w:color w:val="000000"/>
                <w:kern w:val="0"/>
                <w:sz w:val="18"/>
                <w:szCs w:val="18"/>
                <w:u w:val="none"/>
                <w:lang w:val="en-US" w:eastAsia="zh-CN" w:bidi="ar"/>
              </w:rPr>
              <w:t>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工程管理技术员</w:t>
            </w:r>
          </w:p>
        </w:tc>
        <w:tc>
          <w:tcPr>
            <w:tcW w:w="797" w:type="dxa"/>
            <w:vAlign w:val="top"/>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工程管理等</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w:t>
            </w:r>
          </w:p>
        </w:tc>
        <w:tc>
          <w:tcPr>
            <w:tcW w:w="1867" w:type="dxa"/>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财务</w:t>
            </w:r>
          </w:p>
        </w:tc>
        <w:tc>
          <w:tcPr>
            <w:tcW w:w="797" w:type="dxa"/>
            <w:vAlign w:val="top"/>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637" w:type="dxa"/>
            <w:vAlign w:val="top"/>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财务管理、会计学</w:t>
            </w: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18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w:t>
            </w:r>
          </w:p>
        </w:tc>
        <w:tc>
          <w:tcPr>
            <w:tcW w:w="4637"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1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福利待遇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1.工资收入：实行岗效工资+津贴补贴的薪酬体系，向一线倾斜；技术员年收入6-11万元,工程师年收入10-20万。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2.食宿：免费提供食宿。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3.保险：按照国家政策缴纳五险一金。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4.休假：年休假、 病假、 婚假、 丧假、 产假、 陪产假、 工伤假、探亲假、法定节假日、事假等按国家规定执行。</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5.福利：享受通讯补贴、交通补贴、生日福利、年节工会福利、健康体检等福利。</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简历投递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（1）网上简历投递邮箱：zyxjy1997@163.com；现场简历投递地点：新疆乌鲁木齐市南湖南路66号水清木华A0座12层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color w:val="auto"/>
          <w:sz w:val="28"/>
          <w:szCs w:val="28"/>
          <w:u w:val="none"/>
          <w:lang w:val="en-US" w:eastAsia="zh-CN"/>
        </w:rPr>
      </w:pPr>
      <w:r>
        <w:rPr>
          <w:rFonts w:hint="eastAsia" w:ascii="仿宋" w:hAnsi="仿宋" w:eastAsia="仿宋" w:cs="仿宋"/>
          <w:sz w:val="28"/>
          <w:szCs w:val="28"/>
          <w:lang w:val="en-US" w:eastAsia="zh-CN"/>
        </w:rPr>
        <w:t>（2）联系人及电话：贺江龙，联系电话：0991-4675400。网址：</w:t>
      </w:r>
      <w:r>
        <w:rPr>
          <w:rFonts w:hint="eastAsia" w:ascii="仿宋" w:hAnsi="仿宋" w:eastAsia="仿宋" w:cs="仿宋"/>
          <w:color w:val="auto"/>
          <w:sz w:val="28"/>
          <w:szCs w:val="28"/>
          <w:u w:val="none"/>
          <w:lang w:val="en-US" w:eastAsia="zh-CN"/>
        </w:rPr>
        <w:t>http://www.zyxjdky.com</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outlineLvl w:val="9"/>
        <w:rPr>
          <w:rFonts w:hint="eastAsia" w:ascii="仿宋" w:hAnsi="仿宋" w:eastAsia="仿宋" w:cs="仿宋"/>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jc w:val="left"/>
        <w:textAlignment w:val="auto"/>
        <w:outlineLvl w:val="9"/>
        <w:rPr>
          <w:rFonts w:hint="eastAsia" w:ascii="仿宋" w:hAnsi="仿宋" w:eastAsia="仿宋" w:cs="仿宋"/>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B8F"/>
    <w:multiLevelType w:val="singleLevel"/>
    <w:tmpl w:val="51EC0B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D5A1B"/>
    <w:rsid w:val="0C2A3A7A"/>
    <w:rsid w:val="0E4B0D4D"/>
    <w:rsid w:val="0E6276BD"/>
    <w:rsid w:val="0F357EF5"/>
    <w:rsid w:val="104612E2"/>
    <w:rsid w:val="13C55062"/>
    <w:rsid w:val="15B1626A"/>
    <w:rsid w:val="18A838F6"/>
    <w:rsid w:val="190B0D2B"/>
    <w:rsid w:val="1DF344C5"/>
    <w:rsid w:val="34516893"/>
    <w:rsid w:val="34D2441F"/>
    <w:rsid w:val="377F30CD"/>
    <w:rsid w:val="3A882373"/>
    <w:rsid w:val="3BEF3682"/>
    <w:rsid w:val="42182B0E"/>
    <w:rsid w:val="52263020"/>
    <w:rsid w:val="55092CB3"/>
    <w:rsid w:val="5E226AF1"/>
    <w:rsid w:val="64484297"/>
    <w:rsid w:val="67472851"/>
    <w:rsid w:val="6A847D7F"/>
    <w:rsid w:val="6B0E4ADF"/>
    <w:rsid w:val="6B6333B2"/>
    <w:rsid w:val="6E637C92"/>
    <w:rsid w:val="6E9F731E"/>
    <w:rsid w:val="78434CF2"/>
    <w:rsid w:val="7B5F1B98"/>
    <w:rsid w:val="7E681876"/>
    <w:rsid w:val="7EFA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2667</Words>
  <Characters>2916</Characters>
  <Lines>0</Lines>
  <Paragraphs>0</Paragraphs>
  <TotalTime>6</TotalTime>
  <ScaleCrop>false</ScaleCrop>
  <LinksUpToDate>false</LinksUpToDate>
  <CharactersWithSpaces>2916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kcy-1</dc:creator>
  <cp:lastModifiedBy>Administrator</cp:lastModifiedBy>
  <dcterms:modified xsi:type="dcterms:W3CDTF">2020-04-08T03:48:09Z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